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96B" w:rsidRDefault="00835F6E" w:rsidP="00835F6E">
      <w:pPr>
        <w:keepNext/>
        <w:overflowPunct w:val="0"/>
        <w:autoSpaceDE w:val="0"/>
        <w:autoSpaceDN w:val="0"/>
        <w:adjustRightInd w:val="0"/>
        <w:jc w:val="center"/>
        <w:textAlignment w:val="baseline"/>
        <w:outlineLvl w:val="2"/>
        <w:rPr>
          <w:b/>
          <w:lang w:val="ru-RU"/>
        </w:rPr>
      </w:pPr>
      <w:bookmarkStart w:id="0" w:name="_GoBack"/>
      <w:bookmarkEnd w:id="0"/>
      <w:r w:rsidRPr="00835F6E">
        <w:rPr>
          <w:b/>
          <w:lang w:val="ru-RU"/>
        </w:rPr>
        <w:t xml:space="preserve">СПИСОК ДОКУМЕНТОВ, НЕОБХОДИМЫХ ДЛЯ ОТКРЫТИЯ СЧЕТА ДЕПО В ДЕПОЗИТАРИИ АО </w:t>
      </w:r>
      <w:r w:rsidR="00304A37">
        <w:rPr>
          <w:b/>
          <w:lang w:val="ru-RU"/>
        </w:rPr>
        <w:t>«</w:t>
      </w:r>
      <w:r w:rsidRPr="00835F6E">
        <w:rPr>
          <w:b/>
          <w:lang w:val="ru-RU"/>
        </w:rPr>
        <w:t>РАЙФФАЙЗЕНБАНК</w:t>
      </w:r>
      <w:r w:rsidR="00304A37">
        <w:rPr>
          <w:b/>
          <w:lang w:val="ru-RU"/>
        </w:rPr>
        <w:t>»</w:t>
      </w:r>
      <w:r w:rsidRPr="00835F6E">
        <w:rPr>
          <w:b/>
          <w:lang w:val="ru-RU"/>
        </w:rPr>
        <w:t xml:space="preserve"> ЮРИДИЧЕСКИМ ЛИЦАМ-НЕРЕЗИДЕНТАМ, </w:t>
      </w:r>
    </w:p>
    <w:p w:rsidR="00835F6E" w:rsidRPr="00835F6E" w:rsidRDefault="00835F6E" w:rsidP="00835F6E">
      <w:pPr>
        <w:keepNext/>
        <w:overflowPunct w:val="0"/>
        <w:autoSpaceDE w:val="0"/>
        <w:autoSpaceDN w:val="0"/>
        <w:adjustRightInd w:val="0"/>
        <w:jc w:val="center"/>
        <w:textAlignment w:val="baseline"/>
        <w:outlineLvl w:val="2"/>
        <w:rPr>
          <w:b/>
          <w:lang w:val="ru-RU"/>
        </w:rPr>
      </w:pPr>
      <w:r w:rsidRPr="00835F6E">
        <w:rPr>
          <w:b/>
          <w:lang w:val="ru-RU"/>
        </w:rPr>
        <w:t>И ПОРЯДОК ОТКРЫТИЯ СЧЕТА ДЕПО</w:t>
      </w:r>
    </w:p>
    <w:p w:rsidR="00835F6E" w:rsidRPr="00835F6E" w:rsidRDefault="00835F6E" w:rsidP="00835F6E">
      <w:pPr>
        <w:overflowPunct w:val="0"/>
        <w:autoSpaceDE w:val="0"/>
        <w:autoSpaceDN w:val="0"/>
        <w:adjustRightInd w:val="0"/>
        <w:jc w:val="both"/>
        <w:textAlignment w:val="baseline"/>
        <w:rPr>
          <w:b/>
          <w:lang w:val="ru-RU"/>
        </w:rPr>
      </w:pPr>
      <w:r w:rsidRPr="00835F6E">
        <w:rPr>
          <w:b/>
          <w:lang w:val="ru-RU"/>
        </w:rPr>
        <w:tab/>
      </w:r>
      <w:r w:rsidRPr="00835F6E">
        <w:rPr>
          <w:b/>
          <w:lang w:val="ru-RU"/>
        </w:rPr>
        <w:tab/>
      </w:r>
      <w:r w:rsidRPr="00835F6E">
        <w:rPr>
          <w:b/>
          <w:lang w:val="ru-RU"/>
        </w:rPr>
        <w:tab/>
        <w:t xml:space="preserve">      </w:t>
      </w:r>
    </w:p>
    <w:p w:rsidR="00835F6E" w:rsidRPr="00835F6E" w:rsidRDefault="00835F6E" w:rsidP="00835F6E">
      <w:pPr>
        <w:overflowPunct w:val="0"/>
        <w:autoSpaceDE w:val="0"/>
        <w:autoSpaceDN w:val="0"/>
        <w:adjustRightInd w:val="0"/>
        <w:jc w:val="both"/>
        <w:textAlignment w:val="baseline"/>
        <w:rPr>
          <w:b/>
          <w:lang w:val="ru-RU"/>
        </w:rPr>
      </w:pPr>
      <w:r w:rsidRPr="00835F6E">
        <w:rPr>
          <w:b/>
          <w:lang w:val="ru-RU"/>
        </w:rPr>
        <w:t>1. Порядок открытия Счета депо в депозитарии АО «Райффайзенбанк»</w:t>
      </w:r>
    </w:p>
    <w:p w:rsidR="00835F6E" w:rsidRPr="00835F6E" w:rsidRDefault="00835F6E" w:rsidP="00835F6E">
      <w:pPr>
        <w:overflowPunct w:val="0"/>
        <w:autoSpaceDE w:val="0"/>
        <w:autoSpaceDN w:val="0"/>
        <w:adjustRightInd w:val="0"/>
        <w:spacing w:before="120"/>
        <w:jc w:val="both"/>
        <w:textAlignment w:val="baseline"/>
        <w:rPr>
          <w:lang w:val="ru-RU"/>
        </w:rPr>
      </w:pPr>
      <w:r w:rsidRPr="00835F6E">
        <w:rPr>
          <w:lang w:val="ru-RU"/>
        </w:rPr>
        <w:t xml:space="preserve">1.1. Для открытия счета депо для юридических лиц - нерезидентов в депозитарии АО «Райффайзенбанк» (далее – Банк) необходимо заключить Депозитарный договор и представить документы, указанные в статье 2 настоящего Приложения. В случае если у Депонента в Банке открыт банковский или брокерский счет (юридическое дело сформировано), предоставление заново документов, присутствующих в юридическом деле, не требуется. Необходимо предоставить только те документы, которые отсутствуют в юридическом деле, но требуются для открытия счета депо согласно настоящему Приложению. </w:t>
      </w:r>
    </w:p>
    <w:p w:rsidR="00835F6E" w:rsidRPr="00835F6E" w:rsidRDefault="00835F6E" w:rsidP="00835F6E">
      <w:pPr>
        <w:overflowPunct w:val="0"/>
        <w:autoSpaceDE w:val="0"/>
        <w:autoSpaceDN w:val="0"/>
        <w:adjustRightInd w:val="0"/>
        <w:jc w:val="both"/>
        <w:textAlignment w:val="baseline"/>
        <w:rPr>
          <w:b/>
          <w:lang w:val="ru-RU"/>
        </w:rPr>
      </w:pPr>
    </w:p>
    <w:p w:rsidR="00835F6E" w:rsidRPr="00835F6E" w:rsidRDefault="00835F6E" w:rsidP="00835F6E">
      <w:pPr>
        <w:overflowPunct w:val="0"/>
        <w:autoSpaceDE w:val="0"/>
        <w:autoSpaceDN w:val="0"/>
        <w:adjustRightInd w:val="0"/>
        <w:jc w:val="both"/>
        <w:textAlignment w:val="baseline"/>
        <w:rPr>
          <w:b/>
          <w:lang w:val="ru-RU"/>
        </w:rPr>
      </w:pPr>
      <w:r w:rsidRPr="00835F6E">
        <w:rPr>
          <w:b/>
          <w:lang w:val="ru-RU"/>
        </w:rPr>
        <w:t>2. Список документов для открытия счета депо:</w:t>
      </w:r>
    </w:p>
    <w:p w:rsidR="00835F6E" w:rsidRPr="00835F6E" w:rsidRDefault="00835F6E" w:rsidP="00E756A3">
      <w:pPr>
        <w:overflowPunct w:val="0"/>
        <w:autoSpaceDE w:val="0"/>
        <w:autoSpaceDN w:val="0"/>
        <w:adjustRightInd w:val="0"/>
        <w:spacing w:before="120"/>
        <w:jc w:val="both"/>
        <w:textAlignment w:val="baseline"/>
        <w:rPr>
          <w:b/>
          <w:u w:val="single"/>
          <w:lang w:val="ru-RU"/>
        </w:rPr>
      </w:pPr>
      <w:r w:rsidRPr="00835F6E">
        <w:rPr>
          <w:lang w:val="ru-RU"/>
        </w:rPr>
        <w:t>1. Заявление на открытие Счета депо по форме Приложения 2(а)/ 2(б)/ 2(</w:t>
      </w:r>
      <w:proofErr w:type="gramStart"/>
      <w:r w:rsidRPr="00835F6E">
        <w:rPr>
          <w:lang w:val="ru-RU"/>
        </w:rPr>
        <w:t>в)  к</w:t>
      </w:r>
      <w:proofErr w:type="gramEnd"/>
      <w:r w:rsidRPr="00835F6E">
        <w:rPr>
          <w:lang w:val="ru-RU"/>
        </w:rPr>
        <w:t xml:space="preserve"> Условиям осуществления депозитарной деятельности, подписанное надлежащим образом уполномоченным лицом Депонента и скрепленное печатью при ее наличии </w:t>
      </w:r>
      <w:r w:rsidRPr="00E756A3">
        <w:rPr>
          <w:i/>
          <w:lang w:val="ru-RU"/>
        </w:rPr>
        <w:t>(оригинал)</w:t>
      </w:r>
      <w:r w:rsidRPr="00835F6E">
        <w:rPr>
          <w:lang w:val="ru-RU"/>
        </w:rPr>
        <w:t>.</w:t>
      </w:r>
    </w:p>
    <w:p w:rsidR="00835F6E" w:rsidRPr="00835F6E" w:rsidRDefault="00835F6E" w:rsidP="00835F6E">
      <w:pPr>
        <w:overflowPunct w:val="0"/>
        <w:autoSpaceDE w:val="0"/>
        <w:autoSpaceDN w:val="0"/>
        <w:adjustRightInd w:val="0"/>
        <w:jc w:val="both"/>
        <w:textAlignment w:val="baseline"/>
        <w:rPr>
          <w:lang w:val="ru-RU"/>
        </w:rPr>
      </w:pPr>
    </w:p>
    <w:p w:rsidR="00835F6E" w:rsidRPr="00835F6E" w:rsidRDefault="00835F6E" w:rsidP="00835F6E">
      <w:pPr>
        <w:overflowPunct w:val="0"/>
        <w:autoSpaceDE w:val="0"/>
        <w:autoSpaceDN w:val="0"/>
        <w:adjustRightInd w:val="0"/>
        <w:jc w:val="both"/>
        <w:textAlignment w:val="baseline"/>
        <w:rPr>
          <w:b/>
          <w:u w:val="single"/>
          <w:lang w:val="ru-RU"/>
        </w:rPr>
      </w:pPr>
      <w:r w:rsidRPr="00835F6E">
        <w:rPr>
          <w:lang w:val="ru-RU"/>
        </w:rPr>
        <w:t>2. Анкета Депонента по форме Приложения 1(а) к Условиям осуществления депозитарной деятельности, подписанн</w:t>
      </w:r>
      <w:r w:rsidR="00290F8D">
        <w:rPr>
          <w:lang w:val="ru-RU"/>
        </w:rPr>
        <w:t>ая</w:t>
      </w:r>
      <w:r w:rsidRPr="00835F6E">
        <w:rPr>
          <w:lang w:val="ru-RU"/>
        </w:rPr>
        <w:t xml:space="preserve"> надлежащим образом уполномоченным лицом Депонента и скрепленное печатью при ее наличии </w:t>
      </w:r>
      <w:r w:rsidRPr="00E756A3">
        <w:rPr>
          <w:i/>
          <w:lang w:val="ru-RU"/>
        </w:rPr>
        <w:t>(оригинал)</w:t>
      </w:r>
      <w:r w:rsidRPr="00835F6E">
        <w:rPr>
          <w:lang w:val="ru-RU"/>
        </w:rPr>
        <w:t>.</w:t>
      </w:r>
    </w:p>
    <w:p w:rsidR="00835F6E" w:rsidRPr="00835F6E" w:rsidRDefault="00835F6E" w:rsidP="00835F6E">
      <w:pPr>
        <w:overflowPunct w:val="0"/>
        <w:autoSpaceDE w:val="0"/>
        <w:autoSpaceDN w:val="0"/>
        <w:adjustRightInd w:val="0"/>
        <w:spacing w:before="120"/>
        <w:jc w:val="both"/>
        <w:textAlignment w:val="baseline"/>
        <w:rPr>
          <w:lang w:val="ru-RU"/>
        </w:rPr>
      </w:pPr>
      <w:r w:rsidRPr="00835F6E">
        <w:rPr>
          <w:lang w:val="ru-RU"/>
        </w:rPr>
        <w:t>3.  Депозитарный (</w:t>
      </w:r>
      <w:proofErr w:type="spellStart"/>
      <w:r w:rsidRPr="00835F6E">
        <w:rPr>
          <w:lang w:val="ru-RU"/>
        </w:rPr>
        <w:t>Междепозитарный</w:t>
      </w:r>
      <w:proofErr w:type="spellEnd"/>
      <w:r w:rsidRPr="00835F6E">
        <w:rPr>
          <w:lang w:val="ru-RU"/>
        </w:rPr>
        <w:t>/Доверительного управляющего) договор с Приложениями  в 2-х  экземплярах, подписанный надлежащим образом уполномоченным лицом Депонента и скрепленный печатью при ее наличии (оригинал).</w:t>
      </w:r>
    </w:p>
    <w:p w:rsidR="00835F6E" w:rsidRPr="00835F6E" w:rsidRDefault="00835F6E" w:rsidP="00835F6E">
      <w:pPr>
        <w:spacing w:before="120"/>
        <w:jc w:val="both"/>
        <w:rPr>
          <w:lang w:val="ru-RU"/>
        </w:rPr>
      </w:pPr>
      <w:r w:rsidRPr="00835F6E">
        <w:rPr>
          <w:lang w:val="ru-RU"/>
        </w:rPr>
        <w:t xml:space="preserve">4. Учредительные документы Депонента </w:t>
      </w:r>
      <w:r w:rsidRPr="00E756A3">
        <w:rPr>
          <w:i/>
          <w:lang w:val="ru-RU"/>
        </w:rPr>
        <w:t>(</w:t>
      </w:r>
      <w:r w:rsidRPr="00304A37">
        <w:rPr>
          <w:i/>
          <w:lang w:val="ru-RU"/>
        </w:rPr>
        <w:t>2</w:t>
      </w:r>
      <w:r w:rsidRPr="00E756A3">
        <w:rPr>
          <w:i/>
          <w:lang w:val="ru-RU"/>
        </w:rPr>
        <w:t>)</w:t>
      </w:r>
      <w:r w:rsidRPr="00835F6E">
        <w:rPr>
          <w:lang w:val="ru-RU"/>
        </w:rPr>
        <w:t>.</w:t>
      </w:r>
    </w:p>
    <w:p w:rsidR="00835F6E" w:rsidRPr="00835F6E" w:rsidRDefault="00835F6E" w:rsidP="00835F6E">
      <w:pPr>
        <w:spacing w:before="120"/>
        <w:jc w:val="both"/>
        <w:rPr>
          <w:kern w:val="28"/>
          <w:lang w:val="ru-RU"/>
        </w:rPr>
      </w:pPr>
      <w:r w:rsidRPr="00835F6E">
        <w:rPr>
          <w:lang w:val="ru-RU"/>
        </w:rPr>
        <w:t>5. </w:t>
      </w:r>
      <w:r w:rsidRPr="00835F6E">
        <w:rPr>
          <w:kern w:val="28"/>
          <w:lang w:val="ru-RU"/>
        </w:rPr>
        <w:t xml:space="preserve">Документы, подтверждающие государственную регистрацию юридического лица в соответствии с </w:t>
      </w:r>
      <w:proofErr w:type="gramStart"/>
      <w:r w:rsidRPr="00835F6E">
        <w:rPr>
          <w:kern w:val="28"/>
          <w:lang w:val="ru-RU"/>
        </w:rPr>
        <w:t>законодательством  государства</w:t>
      </w:r>
      <w:proofErr w:type="gramEnd"/>
      <w:r w:rsidRPr="00835F6E">
        <w:rPr>
          <w:kern w:val="28"/>
          <w:lang w:val="ru-RU"/>
        </w:rPr>
        <w:t xml:space="preserve">, на территории которого создано это юридическое лицо: выписка из торгового реестра, выданная не ранее 1 (одного) месяца до даты предоставления в Банк </w:t>
      </w:r>
      <w:r w:rsidRPr="00E756A3">
        <w:rPr>
          <w:i/>
          <w:kern w:val="28"/>
          <w:lang w:val="ru-RU"/>
        </w:rPr>
        <w:t>(</w:t>
      </w:r>
      <w:r w:rsidRPr="00304A37">
        <w:rPr>
          <w:i/>
          <w:kern w:val="28"/>
          <w:lang w:val="ru-RU"/>
        </w:rPr>
        <w:t>2</w:t>
      </w:r>
      <w:r w:rsidRPr="00E756A3">
        <w:rPr>
          <w:i/>
          <w:kern w:val="28"/>
          <w:lang w:val="ru-RU"/>
        </w:rPr>
        <w:t>)</w:t>
      </w:r>
      <w:r w:rsidRPr="00835F6E">
        <w:rPr>
          <w:kern w:val="28"/>
          <w:lang w:val="ru-RU"/>
        </w:rPr>
        <w:t xml:space="preserve">. </w:t>
      </w:r>
    </w:p>
    <w:p w:rsidR="00835F6E" w:rsidRPr="00835F6E" w:rsidRDefault="00835F6E" w:rsidP="00835F6E">
      <w:pPr>
        <w:spacing w:before="120"/>
        <w:jc w:val="both"/>
        <w:rPr>
          <w:i/>
          <w:kern w:val="28"/>
          <w:lang w:val="ru-RU"/>
        </w:rPr>
      </w:pPr>
      <w:r w:rsidRPr="00835F6E">
        <w:rPr>
          <w:kern w:val="28"/>
          <w:lang w:val="ru-RU"/>
        </w:rPr>
        <w:t xml:space="preserve">6. Документы, подтверждающие правовой статус юридического лица в качестве  налогоплательщика по законодательству страны, на территории которого оно создано </w:t>
      </w:r>
      <w:r w:rsidRPr="00835F6E">
        <w:rPr>
          <w:i/>
          <w:kern w:val="28"/>
          <w:lang w:val="ru-RU"/>
        </w:rPr>
        <w:t>(2) или копия, заверенная уполномоченным органом.</w:t>
      </w:r>
    </w:p>
    <w:p w:rsidR="00835F6E" w:rsidRPr="00835F6E" w:rsidRDefault="00835F6E" w:rsidP="00835F6E">
      <w:pPr>
        <w:spacing w:before="120"/>
        <w:jc w:val="both"/>
        <w:rPr>
          <w:i/>
          <w:kern w:val="28"/>
          <w:lang w:val="ru-RU"/>
        </w:rPr>
      </w:pPr>
      <w:r w:rsidRPr="00835F6E">
        <w:rPr>
          <w:lang w:val="ru-RU"/>
        </w:rPr>
        <w:t>7. </w:t>
      </w:r>
      <w:r w:rsidRPr="00835F6E">
        <w:rPr>
          <w:kern w:val="28"/>
          <w:lang w:val="ru-RU"/>
        </w:rPr>
        <w:t xml:space="preserve">Альбом/карточка с образцами подписей и оттиском печати (при наличии) </w:t>
      </w:r>
    </w:p>
    <w:p w:rsidR="00835F6E" w:rsidRPr="00835F6E" w:rsidRDefault="00835F6E" w:rsidP="00835F6E">
      <w:pPr>
        <w:spacing w:before="120"/>
        <w:jc w:val="both"/>
        <w:rPr>
          <w:kern w:val="28"/>
          <w:lang w:val="ru-RU"/>
        </w:rPr>
      </w:pPr>
      <w:r w:rsidRPr="00835F6E">
        <w:rPr>
          <w:kern w:val="28"/>
          <w:lang w:val="ru-RU"/>
        </w:rPr>
        <w:t>8.</w:t>
      </w:r>
      <w:r w:rsidRPr="00835F6E">
        <w:rPr>
          <w:color w:val="FF0000"/>
          <w:kern w:val="28"/>
          <w:lang w:val="ru-RU"/>
        </w:rPr>
        <w:t xml:space="preserve"> </w:t>
      </w:r>
      <w:r w:rsidRPr="00835F6E">
        <w:rPr>
          <w:kern w:val="28"/>
          <w:lang w:val="ru-RU"/>
        </w:rPr>
        <w:t xml:space="preserve">Документы, удостоверяющие личность ЕИО, лица (лиц), внесенных в Альбом/карточку с образцами подписей, а также лиц, наделенных полномочиями на подписание Депозитарного договора </w:t>
      </w:r>
      <w:r w:rsidRPr="00E756A3">
        <w:rPr>
          <w:i/>
          <w:kern w:val="28"/>
          <w:lang w:val="ru-RU"/>
        </w:rPr>
        <w:t>(2)</w:t>
      </w:r>
      <w:r w:rsidRPr="00835F6E">
        <w:rPr>
          <w:kern w:val="28"/>
          <w:lang w:val="ru-RU"/>
        </w:rPr>
        <w:t>.</w:t>
      </w:r>
    </w:p>
    <w:p w:rsidR="00835F6E" w:rsidRPr="00835F6E" w:rsidRDefault="00835F6E" w:rsidP="00835F6E">
      <w:pPr>
        <w:tabs>
          <w:tab w:val="left" w:pos="142"/>
          <w:tab w:val="left" w:pos="284"/>
          <w:tab w:val="left" w:pos="334"/>
        </w:tabs>
        <w:spacing w:before="60" w:after="60"/>
        <w:jc w:val="both"/>
        <w:rPr>
          <w:color w:val="000000"/>
          <w:spacing w:val="-4"/>
          <w:kern w:val="28"/>
          <w:lang w:val="ru-RU"/>
        </w:rPr>
      </w:pPr>
      <w:r w:rsidRPr="00835F6E">
        <w:rPr>
          <w:color w:val="000000"/>
          <w:spacing w:val="-4"/>
          <w:kern w:val="28"/>
          <w:lang w:val="ru-RU"/>
        </w:rPr>
        <w:t>Иностранные граждане, лица без гражданства дополнительно предоставляют документы, удостоверяющие законность нахождения в РФ (например, виза и (или) миграционная карта, вид на жительство, разрешение на временное проживание, иные документы</w:t>
      </w:r>
      <w:r w:rsidRPr="00835F6E">
        <w:rPr>
          <w:color w:val="000000"/>
          <w:kern w:val="28"/>
          <w:lang w:val="ru-RU"/>
        </w:rPr>
        <w:t xml:space="preserve"> </w:t>
      </w:r>
      <w:r w:rsidRPr="00835F6E">
        <w:rPr>
          <w:color w:val="000000"/>
          <w:spacing w:val="-4"/>
          <w:kern w:val="28"/>
          <w:lang w:val="ru-RU"/>
        </w:rPr>
        <w:t xml:space="preserve">предусмотренные федеральным законом или международным договором РФ, подтверждающие право иностранного гражданина на пребывание (проживание) в РФ) </w:t>
      </w:r>
      <w:r w:rsidRPr="00835F6E">
        <w:rPr>
          <w:i/>
          <w:iCs/>
          <w:color w:val="000000"/>
          <w:spacing w:val="-4"/>
          <w:kern w:val="28"/>
          <w:lang w:val="ru-RU"/>
        </w:rPr>
        <w:t>(</w:t>
      </w:r>
      <w:r w:rsidRPr="00835F6E">
        <w:rPr>
          <w:i/>
          <w:color w:val="000000"/>
          <w:spacing w:val="-4"/>
          <w:kern w:val="28"/>
          <w:lang w:val="ru-RU"/>
        </w:rPr>
        <w:t>копия документа на бумажном носителе, изготовленная Депонентом (например, ксерокопия) и оригинал для сверки, либо (2).</w:t>
      </w:r>
    </w:p>
    <w:p w:rsidR="00835F6E" w:rsidRPr="00835F6E" w:rsidRDefault="00835F6E" w:rsidP="00835F6E">
      <w:pPr>
        <w:tabs>
          <w:tab w:val="left" w:pos="142"/>
          <w:tab w:val="left" w:pos="284"/>
          <w:tab w:val="left" w:pos="334"/>
        </w:tabs>
        <w:spacing w:before="60" w:after="60"/>
        <w:jc w:val="both"/>
        <w:rPr>
          <w:i/>
          <w:color w:val="000000"/>
          <w:spacing w:val="-4"/>
          <w:kern w:val="28"/>
          <w:lang w:val="ru-RU"/>
        </w:rPr>
      </w:pPr>
      <w:r w:rsidRPr="00835F6E">
        <w:rPr>
          <w:color w:val="000000"/>
          <w:spacing w:val="-4"/>
          <w:kern w:val="28"/>
          <w:lang w:val="ru-RU"/>
        </w:rPr>
        <w:t>Если иностранные граждане, лица без гражданства не въезжали на территорию РФ, представляется письмо от имени Депонента, подтверждающее данный факт, при этом документы, удостоверяющие личность указанных иностранных граждан, лиц без гражданства, должны быть предоставлены в Банк с надлежащим образом заверенным переводом на русский язык</w:t>
      </w:r>
      <w:r w:rsidRPr="00835F6E">
        <w:rPr>
          <w:i/>
          <w:color w:val="000000"/>
          <w:spacing w:val="-4"/>
          <w:kern w:val="28"/>
          <w:lang w:val="ru-RU"/>
        </w:rPr>
        <w:t xml:space="preserve">. </w:t>
      </w:r>
    </w:p>
    <w:p w:rsidR="00835F6E" w:rsidRPr="00835F6E" w:rsidRDefault="00835F6E" w:rsidP="00835F6E">
      <w:pPr>
        <w:overflowPunct w:val="0"/>
        <w:autoSpaceDE w:val="0"/>
        <w:autoSpaceDN w:val="0"/>
        <w:adjustRightInd w:val="0"/>
        <w:jc w:val="both"/>
        <w:textAlignment w:val="baseline"/>
        <w:rPr>
          <w:strike/>
          <w:color w:val="000000"/>
          <w:lang w:val="ru-RU"/>
        </w:rPr>
      </w:pPr>
      <w:r w:rsidRPr="00835F6E">
        <w:rPr>
          <w:color w:val="000000"/>
          <w:spacing w:val="-4"/>
          <w:lang w:val="ru-RU"/>
        </w:rPr>
        <w:t xml:space="preserve">Информация об адресе места жительства (регистрации) или места пребывания представителя Депонента, помимо прочего может быть предоставлена в Банк представителем Депонента лично в устной форме, либо в виде заявления (уведомления) на бумажном носителе, составленного в свободной форме от имени представителя Депонента. </w:t>
      </w:r>
    </w:p>
    <w:p w:rsidR="00835F6E" w:rsidRPr="00835F6E" w:rsidRDefault="00835F6E" w:rsidP="00835F6E">
      <w:pPr>
        <w:spacing w:before="120"/>
        <w:jc w:val="both"/>
        <w:rPr>
          <w:kern w:val="28"/>
          <w:lang w:val="ru-RU"/>
        </w:rPr>
      </w:pPr>
      <w:r w:rsidRPr="00835F6E">
        <w:rPr>
          <w:kern w:val="28"/>
          <w:lang w:val="ru-RU"/>
        </w:rPr>
        <w:lastRenderedPageBreak/>
        <w:t>9. Документы, подтверждающие полномочия ЕИО: решение компетентного органа управления компании об избрании (назначении) руководителя (</w:t>
      </w:r>
      <w:r w:rsidRPr="00835F6E">
        <w:rPr>
          <w:i/>
          <w:kern w:val="28"/>
          <w:lang w:val="ru-RU"/>
        </w:rPr>
        <w:t>1) или (2</w:t>
      </w:r>
      <w:r w:rsidRPr="00835F6E">
        <w:rPr>
          <w:kern w:val="28"/>
          <w:lang w:val="ru-RU"/>
        </w:rPr>
        <w:t>).</w:t>
      </w:r>
    </w:p>
    <w:p w:rsidR="00835F6E" w:rsidRPr="00835F6E" w:rsidRDefault="00835F6E" w:rsidP="00835F6E">
      <w:pPr>
        <w:spacing w:before="120"/>
        <w:jc w:val="both"/>
        <w:rPr>
          <w:kern w:val="28"/>
          <w:lang w:val="ru-RU"/>
        </w:rPr>
      </w:pPr>
      <w:r w:rsidRPr="00835F6E">
        <w:rPr>
          <w:kern w:val="28"/>
          <w:lang w:val="ru-RU"/>
        </w:rPr>
        <w:t xml:space="preserve">10. Документы (доверенности, приказы) о наделении лиц из </w:t>
      </w:r>
      <w:r w:rsidR="006557B6">
        <w:rPr>
          <w:kern w:val="28"/>
          <w:lang w:val="ru-RU"/>
        </w:rPr>
        <w:t>Альбома/карточки с образцами подписей</w:t>
      </w:r>
      <w:r w:rsidRPr="00835F6E">
        <w:rPr>
          <w:kern w:val="28"/>
          <w:lang w:val="ru-RU"/>
        </w:rPr>
        <w:t xml:space="preserve">, подписывающих договор и распоряжающихся счетом депо, правом подписи поручений (распоряжений), полномочиями на подписание договора и распоряжение счетом депо за исключением лиц, имеющих право действовать от имени Депонента на основании устава) </w:t>
      </w:r>
      <w:r w:rsidRPr="00E756A3">
        <w:rPr>
          <w:i/>
          <w:kern w:val="28"/>
          <w:lang w:val="ru-RU"/>
        </w:rPr>
        <w:t>(1) или (2)</w:t>
      </w:r>
      <w:r w:rsidRPr="00835F6E">
        <w:rPr>
          <w:kern w:val="28"/>
          <w:lang w:val="ru-RU"/>
        </w:rPr>
        <w:t>.</w:t>
      </w:r>
    </w:p>
    <w:p w:rsidR="00835F6E" w:rsidRPr="00835F6E" w:rsidRDefault="00835F6E" w:rsidP="00835F6E">
      <w:pPr>
        <w:spacing w:before="120"/>
        <w:jc w:val="both"/>
        <w:rPr>
          <w:kern w:val="28"/>
          <w:lang w:val="ru-RU"/>
        </w:rPr>
      </w:pPr>
      <w:r w:rsidRPr="00835F6E">
        <w:rPr>
          <w:kern w:val="28"/>
          <w:lang w:val="ru-RU"/>
        </w:rPr>
        <w:t xml:space="preserve">11. Лицензии на право осуществления деятельности, подлежащей лицензированию (регулированию), если они имеют непосредственное отношение к правоспособности Клиента открывать счет определенного вида </w:t>
      </w:r>
      <w:r w:rsidRPr="00E756A3">
        <w:rPr>
          <w:i/>
          <w:kern w:val="28"/>
          <w:lang w:val="ru-RU"/>
        </w:rPr>
        <w:t>(2)</w:t>
      </w:r>
      <w:r w:rsidRPr="00835F6E">
        <w:rPr>
          <w:kern w:val="28"/>
          <w:lang w:val="ru-RU"/>
        </w:rPr>
        <w:t>.</w:t>
      </w:r>
    </w:p>
    <w:p w:rsidR="00304A37" w:rsidRDefault="00304A37">
      <w:pPr>
        <w:rPr>
          <w:b/>
          <w:sz w:val="18"/>
          <w:szCs w:val="18"/>
          <w:u w:val="single"/>
          <w:lang w:val="ru-RU"/>
        </w:rPr>
      </w:pPr>
      <w:r>
        <w:rPr>
          <w:b/>
          <w:sz w:val="18"/>
          <w:szCs w:val="18"/>
          <w:u w:val="single"/>
          <w:lang w:val="ru-RU"/>
        </w:rPr>
        <w:br w:type="page"/>
      </w:r>
    </w:p>
    <w:p w:rsidR="00835F6E" w:rsidRPr="00835F6E" w:rsidRDefault="00835F6E" w:rsidP="00835F6E">
      <w:pPr>
        <w:overflowPunct w:val="0"/>
        <w:autoSpaceDE w:val="0"/>
        <w:autoSpaceDN w:val="0"/>
        <w:adjustRightInd w:val="0"/>
        <w:textAlignment w:val="baseline"/>
        <w:rPr>
          <w:b/>
          <w:sz w:val="18"/>
          <w:szCs w:val="18"/>
          <w:u w:val="single"/>
          <w:lang w:val="ru-RU"/>
        </w:rPr>
      </w:pPr>
      <w:r w:rsidRPr="00835F6E">
        <w:rPr>
          <w:b/>
          <w:sz w:val="18"/>
          <w:szCs w:val="18"/>
          <w:u w:val="single"/>
          <w:lang w:val="ru-RU"/>
        </w:rPr>
        <w:lastRenderedPageBreak/>
        <w:t>ПРИМЕЧАНИЕ:</w:t>
      </w:r>
    </w:p>
    <w:p w:rsidR="00835F6E" w:rsidRPr="00835F6E" w:rsidRDefault="00835F6E" w:rsidP="00835F6E">
      <w:pPr>
        <w:overflowPunct w:val="0"/>
        <w:autoSpaceDE w:val="0"/>
        <w:autoSpaceDN w:val="0"/>
        <w:adjustRightInd w:val="0"/>
        <w:textAlignment w:val="baseline"/>
        <w:rPr>
          <w:b/>
          <w:sz w:val="18"/>
          <w:szCs w:val="18"/>
          <w:u w:val="single"/>
          <w:lang w:val="ru-RU"/>
        </w:rPr>
      </w:pPr>
    </w:p>
    <w:p w:rsidR="00835F6E" w:rsidRPr="00835F6E" w:rsidRDefault="00835F6E" w:rsidP="00835F6E">
      <w:pPr>
        <w:numPr>
          <w:ilvl w:val="0"/>
          <w:numId w:val="8"/>
        </w:numPr>
        <w:overflowPunct w:val="0"/>
        <w:autoSpaceDE w:val="0"/>
        <w:autoSpaceDN w:val="0"/>
        <w:adjustRightInd w:val="0"/>
        <w:textAlignment w:val="baseline"/>
        <w:rPr>
          <w:sz w:val="18"/>
          <w:szCs w:val="18"/>
          <w:lang w:val="ru-RU"/>
        </w:rPr>
      </w:pPr>
      <w:r w:rsidRPr="00835F6E">
        <w:rPr>
          <w:b/>
          <w:sz w:val="18"/>
          <w:szCs w:val="18"/>
          <w:lang w:val="ru-RU"/>
        </w:rPr>
        <w:t>Оригинал</w:t>
      </w:r>
      <w:r w:rsidRPr="00835F6E">
        <w:rPr>
          <w:sz w:val="18"/>
          <w:szCs w:val="18"/>
          <w:lang w:val="ru-RU"/>
        </w:rPr>
        <w:t xml:space="preserve"> – оригинальный документ должен содержать личную подпись уполномоченного лица организации и оттиск печати организации.</w:t>
      </w:r>
    </w:p>
    <w:p w:rsidR="00835F6E" w:rsidRPr="00835F6E" w:rsidRDefault="00835F6E" w:rsidP="00835F6E">
      <w:pPr>
        <w:overflowPunct w:val="0"/>
        <w:autoSpaceDE w:val="0"/>
        <w:autoSpaceDN w:val="0"/>
        <w:adjustRightInd w:val="0"/>
        <w:textAlignment w:val="baseline"/>
        <w:rPr>
          <w:sz w:val="18"/>
          <w:szCs w:val="18"/>
          <w:lang w:val="ru-RU"/>
        </w:rPr>
      </w:pPr>
    </w:p>
    <w:p w:rsidR="00835F6E" w:rsidRPr="00835F6E" w:rsidRDefault="00835F6E" w:rsidP="00E756A3">
      <w:pPr>
        <w:numPr>
          <w:ilvl w:val="0"/>
          <w:numId w:val="8"/>
        </w:numPr>
        <w:overflowPunct w:val="0"/>
        <w:autoSpaceDE w:val="0"/>
        <w:autoSpaceDN w:val="0"/>
        <w:adjustRightInd w:val="0"/>
        <w:jc w:val="both"/>
        <w:textAlignment w:val="baseline"/>
        <w:rPr>
          <w:sz w:val="18"/>
          <w:szCs w:val="18"/>
          <w:lang w:val="ru-RU"/>
        </w:rPr>
      </w:pPr>
      <w:r w:rsidRPr="00835F6E">
        <w:rPr>
          <w:b/>
          <w:sz w:val="18"/>
          <w:szCs w:val="18"/>
          <w:lang w:val="ru-RU"/>
        </w:rPr>
        <w:t>Нотариально заверенная копия</w:t>
      </w:r>
      <w:r w:rsidRPr="00835F6E">
        <w:rPr>
          <w:sz w:val="18"/>
          <w:szCs w:val="18"/>
          <w:lang w:val="ru-RU"/>
        </w:rPr>
        <w:t xml:space="preserve"> – нотариально удостоверенная копия, должна быть оформлена в соответствии с действующим законодательством РФ  о нотариате.</w:t>
      </w:r>
    </w:p>
    <w:p w:rsidR="00835F6E" w:rsidRPr="00835F6E" w:rsidRDefault="00835F6E" w:rsidP="00835F6E">
      <w:pPr>
        <w:overflowPunct w:val="0"/>
        <w:autoSpaceDE w:val="0"/>
        <w:autoSpaceDN w:val="0"/>
        <w:adjustRightInd w:val="0"/>
        <w:textAlignment w:val="baseline"/>
        <w:rPr>
          <w:b/>
          <w:sz w:val="18"/>
          <w:szCs w:val="18"/>
          <w:u w:val="single"/>
          <w:lang w:val="ru-RU"/>
        </w:rPr>
      </w:pPr>
    </w:p>
    <w:p w:rsidR="00835F6E" w:rsidRPr="00835F6E" w:rsidRDefault="00835F6E" w:rsidP="00835F6E">
      <w:pPr>
        <w:overflowPunct w:val="0"/>
        <w:autoSpaceDE w:val="0"/>
        <w:autoSpaceDN w:val="0"/>
        <w:adjustRightInd w:val="0"/>
        <w:jc w:val="both"/>
        <w:textAlignment w:val="baseline"/>
        <w:rPr>
          <w:sz w:val="18"/>
          <w:szCs w:val="18"/>
          <w:lang w:val="ru-RU"/>
        </w:rPr>
      </w:pPr>
      <w:r w:rsidRPr="00835F6E">
        <w:rPr>
          <w:sz w:val="18"/>
          <w:szCs w:val="18"/>
          <w:lang w:val="ru-RU"/>
        </w:rPr>
        <w:t xml:space="preserve">Все документы, составленные на иностранном языке, должны  быть переведены на русский язык в России, а подлинность подписи переводчика должна быть заверена  российским нотариусом. </w:t>
      </w:r>
    </w:p>
    <w:p w:rsidR="00835F6E" w:rsidRPr="00835F6E" w:rsidRDefault="00835F6E" w:rsidP="00835F6E">
      <w:pPr>
        <w:overflowPunct w:val="0"/>
        <w:autoSpaceDE w:val="0"/>
        <w:autoSpaceDN w:val="0"/>
        <w:adjustRightInd w:val="0"/>
        <w:jc w:val="both"/>
        <w:textAlignment w:val="baseline"/>
        <w:rPr>
          <w:sz w:val="18"/>
          <w:szCs w:val="18"/>
          <w:lang w:val="ru-RU"/>
        </w:rPr>
      </w:pPr>
    </w:p>
    <w:p w:rsidR="00835F6E" w:rsidRPr="00835F6E" w:rsidRDefault="00835F6E" w:rsidP="00835F6E">
      <w:pPr>
        <w:overflowPunct w:val="0"/>
        <w:autoSpaceDE w:val="0"/>
        <w:autoSpaceDN w:val="0"/>
        <w:adjustRightInd w:val="0"/>
        <w:jc w:val="both"/>
        <w:textAlignment w:val="baseline"/>
        <w:rPr>
          <w:sz w:val="18"/>
          <w:szCs w:val="18"/>
          <w:lang w:val="ru-RU"/>
        </w:rPr>
      </w:pPr>
      <w:r w:rsidRPr="00835F6E">
        <w:rPr>
          <w:sz w:val="18"/>
          <w:szCs w:val="18"/>
          <w:lang w:val="ru-RU"/>
        </w:rPr>
        <w:t xml:space="preserve">Перевод документа на русский язык, выполненный за границей, должен быть дополнительно заверен нотариально и удостоверен </w:t>
      </w:r>
      <w:proofErr w:type="spellStart"/>
      <w:r w:rsidRPr="00835F6E">
        <w:rPr>
          <w:sz w:val="18"/>
          <w:szCs w:val="18"/>
          <w:lang w:val="ru-RU"/>
        </w:rPr>
        <w:t>Апостилем</w:t>
      </w:r>
      <w:proofErr w:type="spellEnd"/>
      <w:r w:rsidRPr="00835F6E">
        <w:rPr>
          <w:sz w:val="18"/>
          <w:szCs w:val="18"/>
          <w:lang w:val="ru-RU"/>
        </w:rPr>
        <w:t xml:space="preserve"> в соответствующем иностранном государстве. При этом удостоверительная надпись иностранного нотариуса и </w:t>
      </w:r>
      <w:proofErr w:type="spellStart"/>
      <w:r w:rsidRPr="00835F6E">
        <w:rPr>
          <w:sz w:val="18"/>
          <w:szCs w:val="18"/>
          <w:lang w:val="ru-RU"/>
        </w:rPr>
        <w:t>Апостиль</w:t>
      </w:r>
      <w:proofErr w:type="spellEnd"/>
      <w:r w:rsidRPr="00835F6E">
        <w:rPr>
          <w:sz w:val="18"/>
          <w:szCs w:val="18"/>
          <w:lang w:val="ru-RU"/>
        </w:rPr>
        <w:t xml:space="preserve"> должны быть переведены на русский язык в России, а подпись российского переводчика нотариально заверена. </w:t>
      </w:r>
    </w:p>
    <w:p w:rsidR="00835F6E" w:rsidRPr="00835F6E" w:rsidRDefault="00835F6E" w:rsidP="00835F6E">
      <w:pPr>
        <w:overflowPunct w:val="0"/>
        <w:autoSpaceDE w:val="0"/>
        <w:autoSpaceDN w:val="0"/>
        <w:adjustRightInd w:val="0"/>
        <w:jc w:val="both"/>
        <w:textAlignment w:val="baseline"/>
        <w:rPr>
          <w:sz w:val="18"/>
          <w:szCs w:val="18"/>
          <w:lang w:val="ru-RU"/>
        </w:rPr>
      </w:pPr>
    </w:p>
    <w:p w:rsidR="00835F6E" w:rsidRPr="00835F6E" w:rsidRDefault="00835F6E" w:rsidP="00835F6E">
      <w:pPr>
        <w:overflowPunct w:val="0"/>
        <w:autoSpaceDE w:val="0"/>
        <w:autoSpaceDN w:val="0"/>
        <w:adjustRightInd w:val="0"/>
        <w:jc w:val="both"/>
        <w:textAlignment w:val="baseline"/>
        <w:rPr>
          <w:sz w:val="18"/>
          <w:szCs w:val="18"/>
          <w:lang w:val="ru-RU"/>
        </w:rPr>
      </w:pPr>
      <w:r w:rsidRPr="00835F6E">
        <w:rPr>
          <w:sz w:val="18"/>
          <w:szCs w:val="18"/>
          <w:lang w:val="ru-RU"/>
        </w:rPr>
        <w:t xml:space="preserve">Все документы, составленные на территории иностранного государства, должны быть заверены нотариально  и удостоверены </w:t>
      </w:r>
      <w:proofErr w:type="spellStart"/>
      <w:r w:rsidRPr="00835F6E">
        <w:rPr>
          <w:sz w:val="18"/>
          <w:szCs w:val="18"/>
          <w:lang w:val="ru-RU"/>
        </w:rPr>
        <w:t>Апостилем</w:t>
      </w:r>
      <w:proofErr w:type="spellEnd"/>
      <w:r w:rsidRPr="00835F6E">
        <w:rPr>
          <w:sz w:val="18"/>
          <w:szCs w:val="18"/>
          <w:lang w:val="ru-RU"/>
        </w:rPr>
        <w:t xml:space="preserve"> в этом иностранном государстве. При этом удостоверительная надпись иностранного нотариуса и </w:t>
      </w:r>
      <w:proofErr w:type="spellStart"/>
      <w:r w:rsidRPr="00835F6E">
        <w:rPr>
          <w:sz w:val="18"/>
          <w:szCs w:val="18"/>
          <w:lang w:val="ru-RU"/>
        </w:rPr>
        <w:t>Апостиль</w:t>
      </w:r>
      <w:proofErr w:type="spellEnd"/>
      <w:r w:rsidRPr="00835F6E">
        <w:rPr>
          <w:sz w:val="18"/>
          <w:szCs w:val="18"/>
          <w:lang w:val="ru-RU"/>
        </w:rPr>
        <w:t xml:space="preserve"> должны быть переведены на русский язык  в России, а подпись российского переводчика - нотариально заверена.</w:t>
      </w:r>
    </w:p>
    <w:p w:rsidR="00835F6E" w:rsidRPr="00835F6E" w:rsidRDefault="00835F6E" w:rsidP="00835F6E">
      <w:pPr>
        <w:overflowPunct w:val="0"/>
        <w:autoSpaceDE w:val="0"/>
        <w:autoSpaceDN w:val="0"/>
        <w:adjustRightInd w:val="0"/>
        <w:jc w:val="both"/>
        <w:textAlignment w:val="baseline"/>
        <w:rPr>
          <w:sz w:val="18"/>
          <w:szCs w:val="18"/>
          <w:lang w:val="ru-RU"/>
        </w:rPr>
      </w:pPr>
    </w:p>
    <w:p w:rsidR="006E5223" w:rsidRDefault="00835F6E" w:rsidP="00835F6E">
      <w:pPr>
        <w:rPr>
          <w:sz w:val="18"/>
          <w:szCs w:val="18"/>
          <w:lang w:val="ru-RU"/>
        </w:rPr>
      </w:pPr>
      <w:proofErr w:type="spellStart"/>
      <w:r w:rsidRPr="00835F6E">
        <w:rPr>
          <w:b/>
          <w:sz w:val="18"/>
          <w:szCs w:val="18"/>
          <w:lang w:val="ru-RU"/>
        </w:rPr>
        <w:t>Апостиль</w:t>
      </w:r>
      <w:proofErr w:type="spellEnd"/>
      <w:r w:rsidRPr="00835F6E">
        <w:rPr>
          <w:b/>
          <w:sz w:val="18"/>
          <w:szCs w:val="18"/>
          <w:lang w:val="ru-RU"/>
        </w:rPr>
        <w:t>-</w:t>
      </w:r>
      <w:r w:rsidRPr="00835F6E">
        <w:rPr>
          <w:sz w:val="18"/>
          <w:szCs w:val="18"/>
          <w:lang w:val="ru-RU"/>
        </w:rPr>
        <w:t xml:space="preserve"> документ, удостоверенный </w:t>
      </w:r>
      <w:proofErr w:type="spellStart"/>
      <w:r w:rsidRPr="00835F6E">
        <w:rPr>
          <w:sz w:val="18"/>
          <w:szCs w:val="18"/>
          <w:lang w:val="ru-RU"/>
        </w:rPr>
        <w:t>Апостилем</w:t>
      </w:r>
      <w:proofErr w:type="spellEnd"/>
      <w:r w:rsidRPr="00835F6E">
        <w:rPr>
          <w:sz w:val="18"/>
          <w:szCs w:val="18"/>
          <w:lang w:val="ru-RU"/>
        </w:rPr>
        <w:t xml:space="preserve"> в соответствии с Гаагской конвенцией от 05 октября 1961</w:t>
      </w:r>
      <w:r w:rsidR="00304A37">
        <w:rPr>
          <w:sz w:val="18"/>
          <w:szCs w:val="18"/>
          <w:lang w:val="ru-RU"/>
        </w:rPr>
        <w:t xml:space="preserve"> </w:t>
      </w:r>
      <w:r w:rsidRPr="00835F6E">
        <w:rPr>
          <w:sz w:val="18"/>
          <w:szCs w:val="18"/>
          <w:lang w:val="ru-RU"/>
        </w:rPr>
        <w:t xml:space="preserve">года или </w:t>
      </w:r>
      <w:proofErr w:type="gramStart"/>
      <w:r w:rsidRPr="00835F6E">
        <w:rPr>
          <w:sz w:val="18"/>
          <w:szCs w:val="18"/>
          <w:lang w:val="ru-RU"/>
        </w:rPr>
        <w:t>легализованный  консульским</w:t>
      </w:r>
      <w:proofErr w:type="gramEnd"/>
      <w:r w:rsidRPr="00835F6E">
        <w:rPr>
          <w:sz w:val="18"/>
          <w:szCs w:val="18"/>
          <w:lang w:val="ru-RU"/>
        </w:rPr>
        <w:t xml:space="preserve"> учреждением.</w:t>
      </w:r>
    </w:p>
    <w:p w:rsidR="0073296B" w:rsidRDefault="0073296B" w:rsidP="00835F6E">
      <w:pPr>
        <w:rPr>
          <w:sz w:val="18"/>
          <w:szCs w:val="18"/>
          <w:lang w:val="ru-RU"/>
        </w:rPr>
      </w:pPr>
    </w:p>
    <w:p w:rsidR="0073296B" w:rsidRPr="00835F6E" w:rsidRDefault="0073296B" w:rsidP="0073296B">
      <w:pPr>
        <w:overflowPunct w:val="0"/>
        <w:autoSpaceDE w:val="0"/>
        <w:autoSpaceDN w:val="0"/>
        <w:adjustRightInd w:val="0"/>
        <w:jc w:val="both"/>
        <w:textAlignment w:val="baseline"/>
        <w:rPr>
          <w:i/>
          <w:sz w:val="18"/>
          <w:szCs w:val="18"/>
          <w:lang w:val="ru-RU"/>
        </w:rPr>
      </w:pPr>
      <w:r w:rsidRPr="00835F6E">
        <w:rPr>
          <w:i/>
          <w:sz w:val="18"/>
          <w:szCs w:val="18"/>
          <w:lang w:val="ru-RU"/>
        </w:rPr>
        <w:t xml:space="preserve">По всем вопросам, связанным с открытием Счетов депо в депозитарии АО </w:t>
      </w:r>
      <w:r w:rsidR="00BE31FA">
        <w:rPr>
          <w:i/>
          <w:sz w:val="18"/>
          <w:szCs w:val="18"/>
          <w:lang w:val="ru-RU"/>
        </w:rPr>
        <w:t>«</w:t>
      </w:r>
      <w:r w:rsidRPr="00835F6E">
        <w:rPr>
          <w:i/>
          <w:sz w:val="18"/>
          <w:szCs w:val="18"/>
          <w:lang w:val="ru-RU"/>
        </w:rPr>
        <w:t>Райффайзенбанк</w:t>
      </w:r>
      <w:r w:rsidR="00BE31FA">
        <w:rPr>
          <w:i/>
          <w:sz w:val="18"/>
          <w:szCs w:val="18"/>
          <w:lang w:val="ru-RU"/>
        </w:rPr>
        <w:t>»</w:t>
      </w:r>
      <w:r w:rsidRPr="00835F6E">
        <w:rPr>
          <w:i/>
          <w:sz w:val="18"/>
          <w:szCs w:val="18"/>
          <w:lang w:val="ru-RU"/>
        </w:rPr>
        <w:t xml:space="preserve">, просим обращаться по </w:t>
      </w:r>
      <w:proofErr w:type="gramStart"/>
      <w:r w:rsidRPr="00835F6E">
        <w:rPr>
          <w:i/>
          <w:sz w:val="18"/>
          <w:szCs w:val="18"/>
          <w:lang w:val="ru-RU"/>
        </w:rPr>
        <w:t>e-</w:t>
      </w:r>
      <w:proofErr w:type="spellStart"/>
      <w:r w:rsidRPr="00835F6E">
        <w:rPr>
          <w:i/>
          <w:sz w:val="18"/>
          <w:szCs w:val="18"/>
          <w:lang w:val="ru-RU"/>
        </w:rPr>
        <w:t>mail</w:t>
      </w:r>
      <w:proofErr w:type="spellEnd"/>
      <w:r w:rsidRPr="00835F6E">
        <w:rPr>
          <w:i/>
          <w:sz w:val="18"/>
          <w:szCs w:val="18"/>
          <w:lang w:val="ru-RU"/>
        </w:rPr>
        <w:t>:</w:t>
      </w:r>
      <w:r w:rsidRPr="00835F6E">
        <w:rPr>
          <w:lang w:val="ru-RU"/>
        </w:rPr>
        <w:t xml:space="preserve"> </w:t>
      </w:r>
      <w:r w:rsidRPr="00835F6E">
        <w:rPr>
          <w:i/>
          <w:sz w:val="18"/>
          <w:szCs w:val="18"/>
          <w:lang w:val="ru-RU"/>
        </w:rPr>
        <w:t xml:space="preserve"> </w:t>
      </w:r>
      <w:r w:rsidR="002C35C6" w:rsidRPr="002C35C6">
        <w:rPr>
          <w:i/>
          <w:sz w:val="18"/>
          <w:szCs w:val="18"/>
        </w:rPr>
        <w:t>IPS</w:t>
      </w:r>
      <w:r w:rsidR="002C35C6" w:rsidRPr="002C35C6">
        <w:rPr>
          <w:i/>
          <w:sz w:val="18"/>
          <w:szCs w:val="18"/>
          <w:lang w:val="ru-RU"/>
        </w:rPr>
        <w:t>_</w:t>
      </w:r>
      <w:r w:rsidR="002C35C6" w:rsidRPr="002C35C6">
        <w:rPr>
          <w:i/>
          <w:sz w:val="18"/>
          <w:szCs w:val="18"/>
        </w:rPr>
        <w:t>CustodySupport</w:t>
      </w:r>
      <w:r w:rsidR="002C35C6" w:rsidRPr="002C35C6">
        <w:rPr>
          <w:i/>
          <w:sz w:val="18"/>
          <w:szCs w:val="18"/>
          <w:lang w:val="ru-RU"/>
        </w:rPr>
        <w:t>@</w:t>
      </w:r>
      <w:r w:rsidR="002C35C6" w:rsidRPr="002C35C6">
        <w:rPr>
          <w:i/>
          <w:sz w:val="18"/>
          <w:szCs w:val="18"/>
        </w:rPr>
        <w:t>raiffeisen</w:t>
      </w:r>
      <w:r w:rsidR="002C35C6" w:rsidRPr="002C35C6">
        <w:rPr>
          <w:i/>
          <w:sz w:val="18"/>
          <w:szCs w:val="18"/>
          <w:lang w:val="ru-RU"/>
        </w:rPr>
        <w:t>.</w:t>
      </w:r>
      <w:r w:rsidR="002C35C6" w:rsidRPr="002C35C6">
        <w:rPr>
          <w:i/>
          <w:sz w:val="18"/>
          <w:szCs w:val="18"/>
        </w:rPr>
        <w:t>ru</w:t>
      </w:r>
      <w:proofErr w:type="gramEnd"/>
      <w:r w:rsidRPr="00835F6E">
        <w:rPr>
          <w:i/>
          <w:sz w:val="18"/>
          <w:szCs w:val="18"/>
          <w:lang w:val="ru-RU"/>
        </w:rPr>
        <w:t xml:space="preserve">, Отдел депозитарного обслуживания  </w:t>
      </w:r>
    </w:p>
    <w:p w:rsidR="0073296B" w:rsidRPr="00835F6E" w:rsidRDefault="0073296B" w:rsidP="0073296B">
      <w:pPr>
        <w:overflowPunct w:val="0"/>
        <w:autoSpaceDE w:val="0"/>
        <w:autoSpaceDN w:val="0"/>
        <w:adjustRightInd w:val="0"/>
        <w:jc w:val="both"/>
        <w:textAlignment w:val="baseline"/>
        <w:rPr>
          <w:sz w:val="18"/>
          <w:szCs w:val="18"/>
          <w:lang w:val="ru-RU"/>
        </w:rPr>
      </w:pPr>
      <w:r w:rsidRPr="00835F6E">
        <w:rPr>
          <w:sz w:val="18"/>
          <w:szCs w:val="18"/>
          <w:lang w:val="ru-RU"/>
        </w:rPr>
        <w:t>тел: (7-495) 721 99 00</w:t>
      </w:r>
    </w:p>
    <w:p w:rsidR="0073296B" w:rsidRPr="00835F6E" w:rsidRDefault="0073296B" w:rsidP="00835F6E">
      <w:pPr>
        <w:rPr>
          <w:lang w:val="ru-RU"/>
        </w:rPr>
      </w:pPr>
    </w:p>
    <w:sectPr w:rsidR="0073296B" w:rsidRPr="00835F6E" w:rsidSect="00550BFD">
      <w:headerReference w:type="default" r:id="rId8"/>
      <w:pgSz w:w="11906" w:h="16838" w:code="9"/>
      <w:pgMar w:top="1440" w:right="1133" w:bottom="993"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BB1" w:rsidRDefault="00020BB1" w:rsidP="00871924">
      <w:pPr>
        <w:pStyle w:val="ConsPlusNormal"/>
      </w:pPr>
      <w:r>
        <w:separator/>
      </w:r>
    </w:p>
  </w:endnote>
  <w:endnote w:type="continuationSeparator" w:id="0">
    <w:p w:rsidR="00020BB1" w:rsidRDefault="00020BB1" w:rsidP="00871924">
      <w:pPr>
        <w:pStyle w:val="ConsPlusNorma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BB1" w:rsidRDefault="00020BB1" w:rsidP="00871924">
      <w:pPr>
        <w:pStyle w:val="ConsPlusNormal"/>
      </w:pPr>
      <w:r>
        <w:separator/>
      </w:r>
    </w:p>
  </w:footnote>
  <w:footnote w:type="continuationSeparator" w:id="0">
    <w:p w:rsidR="00020BB1" w:rsidRDefault="00020BB1" w:rsidP="00871924">
      <w:pPr>
        <w:pStyle w:val="ConsPlusNormal"/>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4BA" w:rsidRDefault="009B671B" w:rsidP="009B671B">
    <w:pPr>
      <w:pStyle w:val="Header"/>
      <w:jc w:val="right"/>
      <w:rPr>
        <w:lang w:val="ru-RU"/>
      </w:rPr>
    </w:pPr>
    <w:r w:rsidRPr="009B671B">
      <w:rPr>
        <w:lang w:val="ru-RU"/>
      </w:rPr>
      <w:t>П</w:t>
    </w:r>
    <w:r w:rsidR="00835F6E">
      <w:rPr>
        <w:lang w:val="ru-RU"/>
      </w:rPr>
      <w:t>риложение 11(б</w:t>
    </w:r>
    <w:r w:rsidRPr="009B671B">
      <w:rPr>
        <w:lang w:val="ru-RU"/>
      </w:rPr>
      <w:t>)</w:t>
    </w:r>
  </w:p>
  <w:p w:rsidR="00142B01" w:rsidRPr="003910B2" w:rsidRDefault="009B671B" w:rsidP="009B671B">
    <w:pPr>
      <w:pStyle w:val="Header"/>
      <w:jc w:val="right"/>
      <w:rPr>
        <w:lang w:val="ru-RU"/>
      </w:rPr>
    </w:pPr>
    <w:r w:rsidRPr="009B671B">
      <w:rPr>
        <w:lang w:val="ru-RU"/>
      </w:rPr>
      <w:t>к Условиям осуществления депозитарной деятельности АО «Райффайзенбанк»</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0D99"/>
    <w:multiLevelType w:val="singleLevel"/>
    <w:tmpl w:val="79AA0530"/>
    <w:lvl w:ilvl="0">
      <w:start w:val="1"/>
      <w:numFmt w:val="lowerLetter"/>
      <w:lvlText w:val="%1)"/>
      <w:legacy w:legacy="1" w:legacySpace="0" w:legacyIndent="360"/>
      <w:lvlJc w:val="left"/>
      <w:pPr>
        <w:ind w:left="927" w:hanging="360"/>
      </w:pPr>
    </w:lvl>
  </w:abstractNum>
  <w:abstractNum w:abstractNumId="1" w15:restartNumberingAfterBreak="0">
    <w:nsid w:val="147B54DB"/>
    <w:multiLevelType w:val="multilevel"/>
    <w:tmpl w:val="1F289C7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2E995035"/>
    <w:multiLevelType w:val="singleLevel"/>
    <w:tmpl w:val="7BF6F87E"/>
    <w:lvl w:ilvl="0">
      <w:start w:val="1"/>
      <w:numFmt w:val="decimal"/>
      <w:lvlText w:val="%1."/>
      <w:legacy w:legacy="1" w:legacySpace="0" w:legacyIndent="360"/>
      <w:lvlJc w:val="left"/>
      <w:pPr>
        <w:ind w:left="360" w:hanging="360"/>
      </w:pPr>
    </w:lvl>
  </w:abstractNum>
  <w:abstractNum w:abstractNumId="3" w15:restartNumberingAfterBreak="0">
    <w:nsid w:val="4CA52775"/>
    <w:multiLevelType w:val="singleLevel"/>
    <w:tmpl w:val="F184EDBC"/>
    <w:lvl w:ilvl="0">
      <w:start w:val="1"/>
      <w:numFmt w:val="decimal"/>
      <w:lvlText w:val="%1."/>
      <w:legacy w:legacy="1" w:legacySpace="0" w:legacyIndent="360"/>
      <w:lvlJc w:val="left"/>
      <w:pPr>
        <w:ind w:left="360" w:hanging="360"/>
      </w:pPr>
    </w:lvl>
  </w:abstractNum>
  <w:abstractNum w:abstractNumId="4" w15:restartNumberingAfterBreak="0">
    <w:nsid w:val="4F801B7D"/>
    <w:multiLevelType w:val="singleLevel"/>
    <w:tmpl w:val="80B8972C"/>
    <w:lvl w:ilvl="0">
      <w:start w:val="1"/>
      <w:numFmt w:val="decimal"/>
      <w:lvlText w:val="%1."/>
      <w:lvlJc w:val="left"/>
      <w:pPr>
        <w:tabs>
          <w:tab w:val="num" w:pos="420"/>
        </w:tabs>
        <w:ind w:left="420" w:hanging="420"/>
      </w:pPr>
      <w:rPr>
        <w:rFonts w:hint="default"/>
      </w:rPr>
    </w:lvl>
  </w:abstractNum>
  <w:abstractNum w:abstractNumId="5" w15:restartNumberingAfterBreak="0">
    <w:nsid w:val="63E4760D"/>
    <w:multiLevelType w:val="hybridMultilevel"/>
    <w:tmpl w:val="A29E0148"/>
    <w:lvl w:ilvl="0" w:tplc="EE46B28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C070FEA"/>
    <w:multiLevelType w:val="singleLevel"/>
    <w:tmpl w:val="7BF6F87E"/>
    <w:lvl w:ilvl="0">
      <w:start w:val="1"/>
      <w:numFmt w:val="decimal"/>
      <w:lvlText w:val="%1."/>
      <w:legacy w:legacy="1" w:legacySpace="0" w:legacyIndent="360"/>
      <w:lvlJc w:val="left"/>
      <w:pPr>
        <w:ind w:left="360" w:hanging="360"/>
      </w:pPr>
    </w:lvl>
  </w:abstractNum>
  <w:abstractNum w:abstractNumId="7" w15:restartNumberingAfterBreak="0">
    <w:nsid w:val="7BCD4951"/>
    <w:multiLevelType w:val="singleLevel"/>
    <w:tmpl w:val="C4AA6B02"/>
    <w:lvl w:ilvl="0">
      <w:start w:val="1"/>
      <w:numFmt w:val="lowerLetter"/>
      <w:lvlText w:val="%1)"/>
      <w:legacy w:legacy="1" w:legacySpace="0" w:legacyIndent="720"/>
      <w:lvlJc w:val="left"/>
      <w:pPr>
        <w:ind w:left="1287" w:hanging="720"/>
      </w:pPr>
    </w:lvl>
  </w:abstractNum>
  <w:num w:numId="1">
    <w:abstractNumId w:val="3"/>
  </w:num>
  <w:num w:numId="2">
    <w:abstractNumId w:val="1"/>
  </w:num>
  <w:num w:numId="3">
    <w:abstractNumId w:val="6"/>
  </w:num>
  <w:num w:numId="4">
    <w:abstractNumId w:val="0"/>
  </w:num>
  <w:num w:numId="5">
    <w:abstractNumId w:val="7"/>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AEA"/>
    <w:rsid w:val="00001639"/>
    <w:rsid w:val="00020BB1"/>
    <w:rsid w:val="000423B5"/>
    <w:rsid w:val="00046C9A"/>
    <w:rsid w:val="000674BA"/>
    <w:rsid w:val="00070153"/>
    <w:rsid w:val="0008548D"/>
    <w:rsid w:val="000B34F4"/>
    <w:rsid w:val="000C6453"/>
    <w:rsid w:val="000D7B42"/>
    <w:rsid w:val="000F31FD"/>
    <w:rsid w:val="001011F4"/>
    <w:rsid w:val="001033A8"/>
    <w:rsid w:val="001040D3"/>
    <w:rsid w:val="0011299E"/>
    <w:rsid w:val="001172EA"/>
    <w:rsid w:val="00126900"/>
    <w:rsid w:val="00142B01"/>
    <w:rsid w:val="001452F5"/>
    <w:rsid w:val="001549CA"/>
    <w:rsid w:val="00162300"/>
    <w:rsid w:val="00170601"/>
    <w:rsid w:val="001806B8"/>
    <w:rsid w:val="00184A56"/>
    <w:rsid w:val="00187591"/>
    <w:rsid w:val="00193EF1"/>
    <w:rsid w:val="001A57C1"/>
    <w:rsid w:val="001C2907"/>
    <w:rsid w:val="001F6AB4"/>
    <w:rsid w:val="00212D47"/>
    <w:rsid w:val="00217125"/>
    <w:rsid w:val="002362AE"/>
    <w:rsid w:val="002425FF"/>
    <w:rsid w:val="0024772B"/>
    <w:rsid w:val="002506EA"/>
    <w:rsid w:val="00250778"/>
    <w:rsid w:val="00264848"/>
    <w:rsid w:val="00277F6B"/>
    <w:rsid w:val="00280315"/>
    <w:rsid w:val="00290F8D"/>
    <w:rsid w:val="002965D6"/>
    <w:rsid w:val="002C35C6"/>
    <w:rsid w:val="002C479F"/>
    <w:rsid w:val="002D4BC3"/>
    <w:rsid w:val="002E703F"/>
    <w:rsid w:val="00304A37"/>
    <w:rsid w:val="0033484C"/>
    <w:rsid w:val="00336648"/>
    <w:rsid w:val="003556BE"/>
    <w:rsid w:val="003606CD"/>
    <w:rsid w:val="00374099"/>
    <w:rsid w:val="00387175"/>
    <w:rsid w:val="003910B2"/>
    <w:rsid w:val="00393B1C"/>
    <w:rsid w:val="003A32CE"/>
    <w:rsid w:val="003A3AE9"/>
    <w:rsid w:val="003B0878"/>
    <w:rsid w:val="003B7CA8"/>
    <w:rsid w:val="003C34A2"/>
    <w:rsid w:val="003C5568"/>
    <w:rsid w:val="003D1ABF"/>
    <w:rsid w:val="003D7C7E"/>
    <w:rsid w:val="003F1993"/>
    <w:rsid w:val="004131F9"/>
    <w:rsid w:val="00443773"/>
    <w:rsid w:val="00454CEB"/>
    <w:rsid w:val="00470683"/>
    <w:rsid w:val="00494E82"/>
    <w:rsid w:val="004B1555"/>
    <w:rsid w:val="004C4337"/>
    <w:rsid w:val="004D1D18"/>
    <w:rsid w:val="004D6F16"/>
    <w:rsid w:val="004E2B9E"/>
    <w:rsid w:val="004E60EC"/>
    <w:rsid w:val="004F3008"/>
    <w:rsid w:val="004F77CD"/>
    <w:rsid w:val="00504690"/>
    <w:rsid w:val="00515B83"/>
    <w:rsid w:val="00516C08"/>
    <w:rsid w:val="005212B1"/>
    <w:rsid w:val="00523CB9"/>
    <w:rsid w:val="005253B8"/>
    <w:rsid w:val="005278D4"/>
    <w:rsid w:val="00550BFD"/>
    <w:rsid w:val="00556ADC"/>
    <w:rsid w:val="00563EA6"/>
    <w:rsid w:val="00572306"/>
    <w:rsid w:val="00574E7F"/>
    <w:rsid w:val="0059061E"/>
    <w:rsid w:val="005B146C"/>
    <w:rsid w:val="005D1724"/>
    <w:rsid w:val="005D5D8F"/>
    <w:rsid w:val="005E2E95"/>
    <w:rsid w:val="005E5153"/>
    <w:rsid w:val="00600A5E"/>
    <w:rsid w:val="00617650"/>
    <w:rsid w:val="00643A99"/>
    <w:rsid w:val="006516CD"/>
    <w:rsid w:val="006557B6"/>
    <w:rsid w:val="006733EA"/>
    <w:rsid w:val="00690E32"/>
    <w:rsid w:val="006911B8"/>
    <w:rsid w:val="006B0CF9"/>
    <w:rsid w:val="006C2B50"/>
    <w:rsid w:val="006D15FA"/>
    <w:rsid w:val="006D349B"/>
    <w:rsid w:val="006E5223"/>
    <w:rsid w:val="007058B4"/>
    <w:rsid w:val="00714B66"/>
    <w:rsid w:val="0073296B"/>
    <w:rsid w:val="00736C9E"/>
    <w:rsid w:val="00741CFD"/>
    <w:rsid w:val="00764A57"/>
    <w:rsid w:val="0077027B"/>
    <w:rsid w:val="00770360"/>
    <w:rsid w:val="00772B06"/>
    <w:rsid w:val="00777E7D"/>
    <w:rsid w:val="007941CB"/>
    <w:rsid w:val="007B2ADD"/>
    <w:rsid w:val="007B655A"/>
    <w:rsid w:val="007C2D60"/>
    <w:rsid w:val="007E72E8"/>
    <w:rsid w:val="00827021"/>
    <w:rsid w:val="00835F6E"/>
    <w:rsid w:val="008560E7"/>
    <w:rsid w:val="00862FF6"/>
    <w:rsid w:val="00871924"/>
    <w:rsid w:val="00884BA7"/>
    <w:rsid w:val="008A1298"/>
    <w:rsid w:val="008B05EB"/>
    <w:rsid w:val="008B5FD7"/>
    <w:rsid w:val="008D0107"/>
    <w:rsid w:val="00903EE4"/>
    <w:rsid w:val="00927BF4"/>
    <w:rsid w:val="00930508"/>
    <w:rsid w:val="009511DF"/>
    <w:rsid w:val="009B671B"/>
    <w:rsid w:val="009E2235"/>
    <w:rsid w:val="009E5B33"/>
    <w:rsid w:val="00A1313C"/>
    <w:rsid w:val="00A1325C"/>
    <w:rsid w:val="00A22769"/>
    <w:rsid w:val="00A36E42"/>
    <w:rsid w:val="00A47D65"/>
    <w:rsid w:val="00A56A10"/>
    <w:rsid w:val="00A75354"/>
    <w:rsid w:val="00A97BF9"/>
    <w:rsid w:val="00AA5303"/>
    <w:rsid w:val="00AE1921"/>
    <w:rsid w:val="00AE3433"/>
    <w:rsid w:val="00AE7BE4"/>
    <w:rsid w:val="00AF1C27"/>
    <w:rsid w:val="00B05866"/>
    <w:rsid w:val="00B158A8"/>
    <w:rsid w:val="00B2461F"/>
    <w:rsid w:val="00B27DE5"/>
    <w:rsid w:val="00B540A2"/>
    <w:rsid w:val="00B55A5A"/>
    <w:rsid w:val="00B75F70"/>
    <w:rsid w:val="00B86BDD"/>
    <w:rsid w:val="00BA44E9"/>
    <w:rsid w:val="00BB2D73"/>
    <w:rsid w:val="00BD02DF"/>
    <w:rsid w:val="00BD2626"/>
    <w:rsid w:val="00BD3C70"/>
    <w:rsid w:val="00BE31FA"/>
    <w:rsid w:val="00C1079F"/>
    <w:rsid w:val="00C32CD9"/>
    <w:rsid w:val="00C44CEA"/>
    <w:rsid w:val="00C56AEA"/>
    <w:rsid w:val="00C827C8"/>
    <w:rsid w:val="00C83303"/>
    <w:rsid w:val="00C91911"/>
    <w:rsid w:val="00C946D9"/>
    <w:rsid w:val="00CA77FE"/>
    <w:rsid w:val="00CB6CBB"/>
    <w:rsid w:val="00CC562B"/>
    <w:rsid w:val="00CD66F4"/>
    <w:rsid w:val="00CD68D1"/>
    <w:rsid w:val="00CF0028"/>
    <w:rsid w:val="00CF0A8B"/>
    <w:rsid w:val="00CF2C34"/>
    <w:rsid w:val="00D0292A"/>
    <w:rsid w:val="00D155E5"/>
    <w:rsid w:val="00D17F11"/>
    <w:rsid w:val="00D26AD3"/>
    <w:rsid w:val="00D324DB"/>
    <w:rsid w:val="00D44947"/>
    <w:rsid w:val="00D64BBE"/>
    <w:rsid w:val="00D83177"/>
    <w:rsid w:val="00D97AAF"/>
    <w:rsid w:val="00DA6B63"/>
    <w:rsid w:val="00DA7C16"/>
    <w:rsid w:val="00DA7D46"/>
    <w:rsid w:val="00DC3357"/>
    <w:rsid w:val="00E11A5C"/>
    <w:rsid w:val="00E276DF"/>
    <w:rsid w:val="00E42700"/>
    <w:rsid w:val="00E468EF"/>
    <w:rsid w:val="00E472E9"/>
    <w:rsid w:val="00E531BF"/>
    <w:rsid w:val="00E73C86"/>
    <w:rsid w:val="00E756A3"/>
    <w:rsid w:val="00E83EB6"/>
    <w:rsid w:val="00E92B3E"/>
    <w:rsid w:val="00E95828"/>
    <w:rsid w:val="00EB1237"/>
    <w:rsid w:val="00EB4D96"/>
    <w:rsid w:val="00ED0077"/>
    <w:rsid w:val="00ED6ECD"/>
    <w:rsid w:val="00EE7811"/>
    <w:rsid w:val="00EF3E34"/>
    <w:rsid w:val="00F07094"/>
    <w:rsid w:val="00F17EF4"/>
    <w:rsid w:val="00F20793"/>
    <w:rsid w:val="00F41B1E"/>
    <w:rsid w:val="00F57B8C"/>
    <w:rsid w:val="00F606A9"/>
    <w:rsid w:val="00F7179D"/>
    <w:rsid w:val="00F91032"/>
    <w:rsid w:val="00F92883"/>
    <w:rsid w:val="00FA5B8E"/>
    <w:rsid w:val="00FA6680"/>
    <w:rsid w:val="00FB41BA"/>
    <w:rsid w:val="00FF7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chartTrackingRefBased/>
  <w15:docId w15:val="{E13AF7E9-05D9-4758-A403-DCF99EA52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1">
    <w:name w:val="heading 1"/>
    <w:basedOn w:val="Normal"/>
    <w:next w:val="Normal"/>
    <w:link w:val="Heading1Char"/>
    <w:qFormat/>
    <w:rsid w:val="00B75F70"/>
    <w:pPr>
      <w:keepNext/>
      <w:spacing w:before="240" w:after="60"/>
      <w:outlineLvl w:val="0"/>
    </w:pPr>
    <w:rPr>
      <w:rFonts w:ascii="Cambria" w:hAnsi="Cambria"/>
      <w:b/>
      <w:bCs/>
      <w:kern w:val="32"/>
      <w:sz w:val="32"/>
      <w:szCs w:val="32"/>
    </w:rPr>
  </w:style>
  <w:style w:type="paragraph" w:styleId="Heading2">
    <w:name w:val="heading 2"/>
    <w:basedOn w:val="Normal"/>
    <w:next w:val="Normal"/>
    <w:qFormat/>
    <w:pPr>
      <w:keepNext/>
      <w:tabs>
        <w:tab w:val="left" w:pos="2977"/>
      </w:tabs>
      <w:jc w:val="center"/>
      <w:outlineLvl w:val="1"/>
    </w:pPr>
    <w:rPr>
      <w:b/>
      <w:caps/>
      <w:kern w:val="28"/>
      <w:lang w:val="ru-RU"/>
    </w:rPr>
  </w:style>
  <w:style w:type="paragraph" w:styleId="Heading3">
    <w:name w:val="heading 3"/>
    <w:basedOn w:val="Normal"/>
    <w:next w:val="Normal"/>
    <w:qFormat/>
    <w:pPr>
      <w:keepNext/>
      <w:jc w:val="center"/>
      <w:outlineLvl w:val="2"/>
    </w:pPr>
    <w:rPr>
      <w:b/>
      <w:sz w:val="22"/>
    </w:rPr>
  </w:style>
  <w:style w:type="paragraph" w:styleId="Heading4">
    <w:name w:val="heading 4"/>
    <w:basedOn w:val="Normal"/>
    <w:next w:val="Normal"/>
    <w:qFormat/>
    <w:pPr>
      <w:keepNext/>
      <w:ind w:hanging="11"/>
      <w:jc w:val="center"/>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BodyText">
    <w:name w:val="Body Text"/>
    <w:basedOn w:val="Normal"/>
    <w:pPr>
      <w:spacing w:before="140"/>
      <w:jc w:val="both"/>
    </w:pPr>
    <w:rPr>
      <w:rFonts w:ascii="Times New Roman CYR" w:hAnsi="Times New Roman CYR"/>
      <w:kern w:val="28"/>
      <w:lang w:val="ru-RU"/>
    </w:rPr>
  </w:style>
  <w:style w:type="paragraph" w:customStyle="1" w:styleId="NormalIiiaeuiue">
    <w:name w:val="Normal.Ii?iaeuiue"/>
    <w:pPr>
      <w:widowControl w:val="0"/>
      <w:ind w:firstLine="709"/>
      <w:jc w:val="both"/>
    </w:pPr>
    <w:rPr>
      <w:snapToGrid w:val="0"/>
      <w:color w:val="000000"/>
      <w:lang w:eastAsia="en-US"/>
    </w:rPr>
  </w:style>
  <w:style w:type="paragraph" w:styleId="Footer">
    <w:name w:val="footer"/>
    <w:basedOn w:val="Normal"/>
    <w:pPr>
      <w:tabs>
        <w:tab w:val="center" w:pos="4153"/>
        <w:tab w:val="right" w:pos="8306"/>
      </w:tabs>
    </w:pPr>
  </w:style>
  <w:style w:type="paragraph" w:styleId="BodyText2">
    <w:name w:val="Body Text 2"/>
    <w:basedOn w:val="Normal"/>
    <w:pPr>
      <w:spacing w:before="60" w:line="240" w:lineRule="atLeast"/>
      <w:jc w:val="both"/>
    </w:pPr>
    <w:rPr>
      <w:snapToGrid w:val="0"/>
      <w:color w:val="000000"/>
      <w:lang w:val="ru-RU" w:eastAsia="en-US"/>
    </w:rPr>
  </w:style>
  <w:style w:type="paragraph" w:styleId="BodyText3">
    <w:name w:val="Body Text 3"/>
    <w:basedOn w:val="Normal"/>
    <w:pPr>
      <w:spacing w:before="120"/>
      <w:jc w:val="both"/>
    </w:pPr>
    <w:rPr>
      <w:b/>
      <w:lang w:val="ru-RU"/>
    </w:rPr>
  </w:style>
  <w:style w:type="character" w:styleId="CommentReference">
    <w:name w:val="annotation reference"/>
    <w:rsid w:val="00C56AEA"/>
    <w:rPr>
      <w:sz w:val="16"/>
      <w:szCs w:val="16"/>
    </w:rPr>
  </w:style>
  <w:style w:type="paragraph" w:styleId="CommentText">
    <w:name w:val="annotation text"/>
    <w:basedOn w:val="Normal"/>
    <w:semiHidden/>
    <w:rsid w:val="00C56AEA"/>
  </w:style>
  <w:style w:type="paragraph" w:styleId="CommentSubject">
    <w:name w:val="annotation subject"/>
    <w:basedOn w:val="CommentText"/>
    <w:next w:val="CommentText"/>
    <w:semiHidden/>
    <w:rsid w:val="00C56AEA"/>
    <w:rPr>
      <w:b/>
      <w:bCs/>
    </w:rPr>
  </w:style>
  <w:style w:type="paragraph" w:styleId="BalloonText">
    <w:name w:val="Balloon Text"/>
    <w:basedOn w:val="Normal"/>
    <w:semiHidden/>
    <w:rsid w:val="00C56AEA"/>
    <w:rPr>
      <w:rFonts w:ascii="Tahoma" w:hAnsi="Tahoma" w:cs="Tahoma"/>
      <w:sz w:val="16"/>
      <w:szCs w:val="16"/>
    </w:rPr>
  </w:style>
  <w:style w:type="character" w:customStyle="1" w:styleId="Heading1Char">
    <w:name w:val="Heading 1 Char"/>
    <w:link w:val="Heading1"/>
    <w:rsid w:val="00B75F70"/>
    <w:rPr>
      <w:rFonts w:ascii="Cambria" w:eastAsia="Times New Roman" w:hAnsi="Cambria" w:cs="Times New Roman"/>
      <w:b/>
      <w:bCs/>
      <w:kern w:val="32"/>
      <w:sz w:val="32"/>
      <w:szCs w:val="32"/>
      <w:lang w:val="en-US"/>
    </w:rPr>
  </w:style>
  <w:style w:type="character" w:styleId="Hyperlink">
    <w:name w:val="Hyperlink"/>
    <w:rsid w:val="00B75F70"/>
    <w:rPr>
      <w:color w:val="0000FF"/>
      <w:u w:val="single"/>
    </w:rPr>
  </w:style>
  <w:style w:type="paragraph" w:styleId="FootnoteText">
    <w:name w:val="footnote text"/>
    <w:basedOn w:val="Normal"/>
    <w:link w:val="FootnoteTextChar"/>
    <w:rsid w:val="00D0292A"/>
    <w:rPr>
      <w:lang w:val="ru-RU"/>
    </w:rPr>
  </w:style>
  <w:style w:type="character" w:customStyle="1" w:styleId="FootnoteTextChar">
    <w:name w:val="Footnote Text Char"/>
    <w:basedOn w:val="DefaultParagraphFont"/>
    <w:link w:val="FootnoteText"/>
    <w:rsid w:val="00D0292A"/>
  </w:style>
  <w:style w:type="character" w:styleId="FootnoteReference">
    <w:name w:val="footnote reference"/>
    <w:rsid w:val="00D0292A"/>
    <w:rPr>
      <w:vertAlign w:val="superscript"/>
    </w:rPr>
  </w:style>
  <w:style w:type="paragraph" w:styleId="EndnoteText">
    <w:name w:val="endnote text"/>
    <w:basedOn w:val="Normal"/>
    <w:link w:val="EndnoteTextChar"/>
    <w:rsid w:val="00D17F11"/>
  </w:style>
  <w:style w:type="character" w:customStyle="1" w:styleId="EndnoteTextChar">
    <w:name w:val="Endnote Text Char"/>
    <w:link w:val="EndnoteText"/>
    <w:rsid w:val="00D17F11"/>
    <w:rPr>
      <w:lang w:val="en-US"/>
    </w:rPr>
  </w:style>
  <w:style w:type="character" w:styleId="EndnoteReference">
    <w:name w:val="endnote reference"/>
    <w:rsid w:val="00D17F11"/>
    <w:rPr>
      <w:vertAlign w:val="superscript"/>
    </w:rPr>
  </w:style>
  <w:style w:type="table" w:styleId="TableGrid">
    <w:name w:val="Table Grid"/>
    <w:basedOn w:val="TableNormal"/>
    <w:rsid w:val="004E60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F3008"/>
    <w:pPr>
      <w:autoSpaceDE w:val="0"/>
      <w:autoSpaceDN w:val="0"/>
      <w:adjustRightInd w:val="0"/>
    </w:pPr>
    <w:rPr>
      <w:b/>
      <w:bCs/>
      <w:sz w:val="16"/>
      <w:szCs w:val="16"/>
    </w:rPr>
  </w:style>
  <w:style w:type="paragraph" w:styleId="Revision">
    <w:name w:val="Revision"/>
    <w:hidden/>
    <w:uiPriority w:val="99"/>
    <w:semiHidden/>
    <w:rsid w:val="005D1724"/>
    <w:rPr>
      <w:lang w:val="en-US"/>
    </w:rPr>
  </w:style>
  <w:style w:type="paragraph" w:customStyle="1" w:styleId="Default">
    <w:name w:val="Default"/>
    <w:rsid w:val="008B5FD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497B8-4BF0-4991-B403-1DBAC40F8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690</Words>
  <Characters>4979</Characters>
  <Application>Microsoft Office Word</Application>
  <DocSecurity>4</DocSecurity>
  <Lines>41</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Attachment 1</vt:lpstr>
      <vt:lpstr>Attachment 1</vt:lpstr>
    </vt:vector>
  </TitlesOfParts>
  <Company>RBA</Company>
  <LinksUpToDate>false</LinksUpToDate>
  <CharactersWithSpaces>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1</dc:title>
  <dc:subject/>
  <dc:creator>User</dc:creator>
  <cp:keywords/>
  <cp:lastModifiedBy>KUDINOVA Marina</cp:lastModifiedBy>
  <cp:revision>2</cp:revision>
  <cp:lastPrinted>2015-09-21T11:08:00Z</cp:lastPrinted>
  <dcterms:created xsi:type="dcterms:W3CDTF">2025-08-12T15:28:00Z</dcterms:created>
  <dcterms:modified xsi:type="dcterms:W3CDTF">2025-08-12T15:28:00Z</dcterms:modified>
</cp:coreProperties>
</file>